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1AFA" w14:textId="785ADC31" w:rsidR="003753CE" w:rsidRDefault="00FF0E06" w:rsidP="00FF0E06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5F3185F" wp14:editId="50BE36F7">
            <wp:extent cx="2514600" cy="1016040"/>
            <wp:effectExtent l="0" t="0" r="0" b="0"/>
            <wp:docPr id="181663999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639997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890" cy="102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B720C" w14:textId="77777777" w:rsidR="00857628" w:rsidRPr="00857628" w:rsidRDefault="00857628" w:rsidP="00FF0E06">
      <w:pPr>
        <w:jc w:val="center"/>
        <w:rPr>
          <w:b/>
          <w:bCs/>
          <w:sz w:val="24"/>
          <w:szCs w:val="24"/>
        </w:rPr>
      </w:pPr>
    </w:p>
    <w:p w14:paraId="03B5E64C" w14:textId="0DA94E93" w:rsidR="00A744B5" w:rsidRPr="003064AB" w:rsidRDefault="003064AB" w:rsidP="00857B2C">
      <w:pPr>
        <w:jc w:val="center"/>
        <w:rPr>
          <w:b/>
          <w:bCs/>
          <w:sz w:val="40"/>
          <w:szCs w:val="40"/>
        </w:rPr>
      </w:pPr>
      <w:r w:rsidRPr="003064AB">
        <w:rPr>
          <w:b/>
          <w:bCs/>
          <w:sz w:val="40"/>
          <w:szCs w:val="40"/>
        </w:rPr>
        <w:t>Murray Arts</w:t>
      </w:r>
    </w:p>
    <w:p w14:paraId="0739F270" w14:textId="45F31EF2" w:rsidR="003064AB" w:rsidRPr="003064AB" w:rsidRDefault="003064AB" w:rsidP="00857B2C">
      <w:pPr>
        <w:jc w:val="center"/>
        <w:rPr>
          <w:b/>
          <w:bCs/>
          <w:sz w:val="40"/>
          <w:szCs w:val="40"/>
        </w:rPr>
      </w:pPr>
      <w:r w:rsidRPr="003064AB">
        <w:rPr>
          <w:b/>
          <w:bCs/>
          <w:sz w:val="40"/>
          <w:szCs w:val="40"/>
        </w:rPr>
        <w:t>Country Arts Support Program (CASP)</w:t>
      </w:r>
    </w:p>
    <w:p w14:paraId="10ED7993" w14:textId="08DB1A31" w:rsidR="003064AB" w:rsidRPr="003064AB" w:rsidRDefault="003064AB" w:rsidP="00857B2C">
      <w:pPr>
        <w:jc w:val="center"/>
        <w:rPr>
          <w:b/>
          <w:bCs/>
          <w:sz w:val="40"/>
          <w:szCs w:val="40"/>
        </w:rPr>
      </w:pPr>
      <w:r w:rsidRPr="003064AB">
        <w:rPr>
          <w:b/>
          <w:bCs/>
          <w:sz w:val="40"/>
          <w:szCs w:val="40"/>
        </w:rPr>
        <w:t>Funding Guidelines</w:t>
      </w:r>
      <w:r w:rsidR="003529C1">
        <w:rPr>
          <w:b/>
          <w:bCs/>
          <w:sz w:val="40"/>
          <w:szCs w:val="40"/>
        </w:rPr>
        <w:t xml:space="preserve"> </w:t>
      </w:r>
      <w:r w:rsidR="003529C1" w:rsidRPr="003064AB">
        <w:rPr>
          <w:b/>
          <w:bCs/>
          <w:sz w:val="40"/>
          <w:szCs w:val="40"/>
        </w:rPr>
        <w:t>202</w:t>
      </w:r>
      <w:r w:rsidR="003529C1">
        <w:rPr>
          <w:b/>
          <w:bCs/>
          <w:sz w:val="40"/>
          <w:szCs w:val="40"/>
        </w:rPr>
        <w:t>6</w:t>
      </w:r>
    </w:p>
    <w:p w14:paraId="591D383B" w14:textId="77777777" w:rsidR="00477B60" w:rsidRDefault="00477B60" w:rsidP="00E43CCE">
      <w:pPr>
        <w:rPr>
          <w:b/>
          <w:bCs/>
        </w:rPr>
      </w:pPr>
    </w:p>
    <w:p w14:paraId="552A8B0B" w14:textId="0EA488B5" w:rsidR="00A744B5" w:rsidRPr="001151B9" w:rsidRDefault="003064AB" w:rsidP="00E43CCE">
      <w:pPr>
        <w:rPr>
          <w:b/>
          <w:bCs/>
        </w:rPr>
      </w:pPr>
      <w:r w:rsidRPr="001151B9">
        <w:rPr>
          <w:b/>
          <w:bCs/>
        </w:rPr>
        <w:t>K</w:t>
      </w:r>
      <w:r w:rsidR="001151B9" w:rsidRPr="001151B9">
        <w:rPr>
          <w:b/>
          <w:bCs/>
        </w:rPr>
        <w:t>ey Dates</w:t>
      </w:r>
    </w:p>
    <w:p w14:paraId="123A2A74" w14:textId="27A3217A" w:rsidR="00A744B5" w:rsidRDefault="001151B9" w:rsidP="00E43CCE">
      <w:r>
        <w:t>Applications Open</w:t>
      </w:r>
      <w:r w:rsidR="0022449B">
        <w:t xml:space="preserve"> </w:t>
      </w:r>
      <w:r w:rsidR="0022449B" w:rsidRPr="003529C1">
        <w:rPr>
          <w:color w:val="EE0000"/>
        </w:rPr>
        <w:t>9am,</w:t>
      </w:r>
      <w:r w:rsidRPr="003529C1">
        <w:rPr>
          <w:color w:val="EE0000"/>
        </w:rPr>
        <w:t xml:space="preserve"> </w:t>
      </w:r>
      <w:r w:rsidR="00791C06" w:rsidRPr="003529C1">
        <w:rPr>
          <w:color w:val="EE0000"/>
        </w:rPr>
        <w:t xml:space="preserve">Monday </w:t>
      </w:r>
      <w:r w:rsidR="004139A8">
        <w:rPr>
          <w:color w:val="EE0000"/>
        </w:rPr>
        <w:t>8</w:t>
      </w:r>
      <w:r w:rsidR="00791C06" w:rsidRPr="003529C1">
        <w:rPr>
          <w:color w:val="EE0000"/>
          <w:vertAlign w:val="superscript"/>
        </w:rPr>
        <w:t>th</w:t>
      </w:r>
      <w:r w:rsidR="00791C06" w:rsidRPr="003529C1">
        <w:rPr>
          <w:color w:val="EE0000"/>
        </w:rPr>
        <w:t xml:space="preserve"> </w:t>
      </w:r>
      <w:r w:rsidR="00B16623" w:rsidRPr="003529C1">
        <w:rPr>
          <w:color w:val="EE0000"/>
        </w:rPr>
        <w:t xml:space="preserve">September </w:t>
      </w:r>
      <w:r w:rsidRPr="003529C1">
        <w:rPr>
          <w:color w:val="EE0000"/>
        </w:rPr>
        <w:t>202</w:t>
      </w:r>
      <w:r w:rsidR="004139A8">
        <w:rPr>
          <w:color w:val="EE0000"/>
        </w:rPr>
        <w:t>5</w:t>
      </w:r>
      <w:r w:rsidR="0018598A" w:rsidRPr="003529C1">
        <w:rPr>
          <w:color w:val="EE0000"/>
        </w:rPr>
        <w:t>, AEST</w:t>
      </w:r>
      <w:r w:rsidR="0018598A">
        <w:t>.</w:t>
      </w:r>
    </w:p>
    <w:p w14:paraId="34BF371B" w14:textId="27706D11" w:rsidR="0018598A" w:rsidRDefault="0022449B" w:rsidP="00E43CCE">
      <w:r>
        <w:t>Applications</w:t>
      </w:r>
      <w:r w:rsidR="0018598A">
        <w:t xml:space="preserve"> Close</w:t>
      </w:r>
      <w:r>
        <w:t xml:space="preserve"> </w:t>
      </w:r>
      <w:r w:rsidRPr="003529C1">
        <w:rPr>
          <w:color w:val="EE0000"/>
        </w:rPr>
        <w:t>5pm,</w:t>
      </w:r>
      <w:r w:rsidR="0018598A" w:rsidRPr="003529C1">
        <w:rPr>
          <w:color w:val="EE0000"/>
        </w:rPr>
        <w:t xml:space="preserve"> </w:t>
      </w:r>
      <w:r w:rsidR="00DF0F8C">
        <w:rPr>
          <w:color w:val="EE0000"/>
        </w:rPr>
        <w:t>Friday</w:t>
      </w:r>
      <w:r w:rsidR="004F2968" w:rsidRPr="003529C1">
        <w:rPr>
          <w:color w:val="EE0000"/>
        </w:rPr>
        <w:t xml:space="preserve"> </w:t>
      </w:r>
      <w:r w:rsidRPr="003529C1">
        <w:rPr>
          <w:color w:val="EE0000"/>
        </w:rPr>
        <w:t>3</w:t>
      </w:r>
      <w:r w:rsidR="00B16623" w:rsidRPr="003529C1">
        <w:rPr>
          <w:color w:val="EE0000"/>
        </w:rPr>
        <w:t>1</w:t>
      </w:r>
      <w:r w:rsidR="00B16623" w:rsidRPr="003529C1">
        <w:rPr>
          <w:color w:val="EE0000"/>
          <w:vertAlign w:val="superscript"/>
        </w:rPr>
        <w:t>st</w:t>
      </w:r>
      <w:r w:rsidRPr="003529C1">
        <w:rPr>
          <w:color w:val="EE0000"/>
        </w:rPr>
        <w:t xml:space="preserve"> </w:t>
      </w:r>
      <w:r w:rsidR="00B16623" w:rsidRPr="003529C1">
        <w:rPr>
          <w:color w:val="EE0000"/>
        </w:rPr>
        <w:t xml:space="preserve">October </w:t>
      </w:r>
      <w:r w:rsidRPr="003529C1">
        <w:rPr>
          <w:color w:val="EE0000"/>
        </w:rPr>
        <w:t>202</w:t>
      </w:r>
      <w:r w:rsidR="00303A8C">
        <w:rPr>
          <w:color w:val="EE0000"/>
        </w:rPr>
        <w:t>5</w:t>
      </w:r>
      <w:r w:rsidRPr="003529C1">
        <w:rPr>
          <w:color w:val="EE0000"/>
        </w:rPr>
        <w:t>, AEST</w:t>
      </w:r>
      <w:r>
        <w:t>.</w:t>
      </w:r>
    </w:p>
    <w:p w14:paraId="3EF1807A" w14:textId="04AC6958" w:rsidR="0022449B" w:rsidRDefault="00477B60" w:rsidP="00E43CCE">
      <w:r>
        <w:t>Projects to be delivered from 1</w:t>
      </w:r>
      <w:r w:rsidRPr="00477B60">
        <w:rPr>
          <w:vertAlign w:val="superscript"/>
        </w:rPr>
        <w:t>st</w:t>
      </w:r>
      <w:r>
        <w:t xml:space="preserve"> J</w:t>
      </w:r>
      <w:r w:rsidR="00B16623">
        <w:t xml:space="preserve">anuary </w:t>
      </w:r>
      <w:r>
        <w:t>202</w:t>
      </w:r>
      <w:r w:rsidR="005C0086">
        <w:t>6</w:t>
      </w:r>
      <w:r>
        <w:t xml:space="preserve"> and </w:t>
      </w:r>
      <w:r w:rsidR="00174407">
        <w:t xml:space="preserve">be </w:t>
      </w:r>
      <w:r>
        <w:t>completed by 31</w:t>
      </w:r>
      <w:r w:rsidRPr="00477B60">
        <w:rPr>
          <w:vertAlign w:val="superscript"/>
        </w:rPr>
        <w:t>st</w:t>
      </w:r>
      <w:r>
        <w:t xml:space="preserve"> </w:t>
      </w:r>
      <w:r w:rsidR="007C3CBC">
        <w:t>October 202</w:t>
      </w:r>
      <w:r w:rsidR="005C0086">
        <w:t>6</w:t>
      </w:r>
      <w:r w:rsidR="007C3CBC">
        <w:t>.</w:t>
      </w:r>
      <w:r>
        <w:t xml:space="preserve"> </w:t>
      </w:r>
    </w:p>
    <w:p w14:paraId="44BB36F1" w14:textId="0D10E4EB" w:rsidR="00E43CCE" w:rsidRDefault="001417C4" w:rsidP="00E43CCE">
      <w:r>
        <w:t>All applicants will be notified of the</w:t>
      </w:r>
      <w:r w:rsidR="00CF74E8">
        <w:t xml:space="preserve"> outcomes of the round by </w:t>
      </w:r>
      <w:r w:rsidR="0055767E">
        <w:t>30</w:t>
      </w:r>
      <w:r w:rsidR="00617942" w:rsidRPr="00617942">
        <w:rPr>
          <w:vertAlign w:val="superscript"/>
        </w:rPr>
        <w:t>th</w:t>
      </w:r>
      <w:r w:rsidR="00617942">
        <w:t xml:space="preserve"> </w:t>
      </w:r>
      <w:r w:rsidR="0055767E">
        <w:t xml:space="preserve">November </w:t>
      </w:r>
      <w:proofErr w:type="gramStart"/>
      <w:r w:rsidR="0055767E">
        <w:t>202</w:t>
      </w:r>
      <w:r w:rsidR="00AB6191">
        <w:t>5</w:t>
      </w:r>
      <w:proofErr w:type="gramEnd"/>
      <w:r w:rsidR="0055767E">
        <w:t xml:space="preserve"> and successful applicants can expect payment of grant monies</w:t>
      </w:r>
      <w:r w:rsidR="002C5A1D">
        <w:t>, post 1</w:t>
      </w:r>
      <w:r w:rsidR="002C5A1D" w:rsidRPr="002C5A1D">
        <w:rPr>
          <w:vertAlign w:val="superscript"/>
        </w:rPr>
        <w:t>st</w:t>
      </w:r>
      <w:r w:rsidR="002C5A1D">
        <w:t xml:space="preserve"> January 202</w:t>
      </w:r>
      <w:r w:rsidR="00AB6191">
        <w:t>6</w:t>
      </w:r>
      <w:r w:rsidR="002C5A1D">
        <w:t xml:space="preserve">. </w:t>
      </w:r>
    </w:p>
    <w:p w14:paraId="4C01A918" w14:textId="0CA2CF3F" w:rsidR="00E43CCE" w:rsidRPr="00477B60" w:rsidRDefault="00E43CCE" w:rsidP="00E43CCE">
      <w:pPr>
        <w:rPr>
          <w:b/>
          <w:bCs/>
        </w:rPr>
      </w:pPr>
      <w:r w:rsidRPr="00477B60">
        <w:rPr>
          <w:b/>
          <w:bCs/>
        </w:rPr>
        <w:t>Overview</w:t>
      </w:r>
    </w:p>
    <w:p w14:paraId="76C0D7C8" w14:textId="73507F72" w:rsidR="00E43CCE" w:rsidRDefault="00E43CCE" w:rsidP="00E43CCE">
      <w:r>
        <w:t xml:space="preserve">The Country Arts Support Program (CASP) is an annual small grants program funded </w:t>
      </w:r>
      <w:r w:rsidR="00BC2051">
        <w:t xml:space="preserve">by </w:t>
      </w:r>
      <w:r w:rsidR="000B7AB1">
        <w:t>Murray Arts</w:t>
      </w:r>
      <w:r w:rsidR="00B663A6">
        <w:t xml:space="preserve">, and for the first time </w:t>
      </w:r>
      <w:r w:rsidR="00372CED">
        <w:t>in 2026 will be open to the entire Murray Arts footprint including Local Government Areas in Victoria</w:t>
      </w:r>
      <w:r w:rsidR="0035798C">
        <w:t xml:space="preserve"> (Full list of LGA’s: Albury City, Federation Shire, Greater Hume, City of Wodonga, </w:t>
      </w:r>
      <w:r w:rsidR="001F0995">
        <w:t>Indigo Shire, and Towong Shire).</w:t>
      </w:r>
    </w:p>
    <w:p w14:paraId="25D62F2F" w14:textId="7238CE5D" w:rsidR="00452C30" w:rsidRDefault="00452C30" w:rsidP="00E43CCE">
      <w:r>
        <w:t>CASP is guided by the Murray Arts’ Strategic Plan</w:t>
      </w:r>
      <w:r w:rsidR="00ED149C">
        <w:t xml:space="preserve"> and the following </w:t>
      </w:r>
      <w:r w:rsidR="003F2EC4">
        <w:t>values:</w:t>
      </w:r>
    </w:p>
    <w:p w14:paraId="4FA5739D" w14:textId="5AE7EA21" w:rsidR="00451C0E" w:rsidRDefault="003F2EC4" w:rsidP="00E43CCE">
      <w:pPr>
        <w:pStyle w:val="ListParagraph"/>
        <w:numPr>
          <w:ilvl w:val="0"/>
          <w:numId w:val="1"/>
        </w:numPr>
      </w:pPr>
      <w:r>
        <w:t>Artistic Endeavour, creativity and integrity.</w:t>
      </w:r>
    </w:p>
    <w:p w14:paraId="4DE6D1AB" w14:textId="12DD9D7E" w:rsidR="00451C0E" w:rsidRDefault="00323674" w:rsidP="00E43CCE">
      <w:pPr>
        <w:pStyle w:val="ListParagraph"/>
        <w:numPr>
          <w:ilvl w:val="0"/>
          <w:numId w:val="1"/>
        </w:numPr>
      </w:pPr>
      <w:r>
        <w:t>The arts as a medium to challenge us and explore our humanity.</w:t>
      </w:r>
    </w:p>
    <w:p w14:paraId="391DF9DF" w14:textId="6660D474" w:rsidR="00E43CCE" w:rsidRDefault="00323674" w:rsidP="00E43CCE">
      <w:pPr>
        <w:pStyle w:val="ListParagraph"/>
        <w:numPr>
          <w:ilvl w:val="0"/>
          <w:numId w:val="1"/>
        </w:numPr>
      </w:pPr>
      <w:r>
        <w:t xml:space="preserve">The opportunity to access, participate </w:t>
      </w:r>
      <w:r w:rsidR="006358D4">
        <w:t>&amp; express ourselves through creative practice.</w:t>
      </w:r>
    </w:p>
    <w:p w14:paraId="7CCACE3B" w14:textId="4B2678CF" w:rsidR="006358D4" w:rsidRDefault="006358D4" w:rsidP="00E43CCE">
      <w:pPr>
        <w:pStyle w:val="ListParagraph"/>
        <w:numPr>
          <w:ilvl w:val="0"/>
          <w:numId w:val="1"/>
        </w:numPr>
      </w:pPr>
      <w:r>
        <w:t xml:space="preserve">Community wellbeing, connection and </w:t>
      </w:r>
      <w:r w:rsidR="004049DA">
        <w:t>lifelong learning.</w:t>
      </w:r>
    </w:p>
    <w:p w14:paraId="68B9A5D0" w14:textId="77777777" w:rsidR="00857B2C" w:rsidRDefault="00857B2C" w:rsidP="00E43CCE">
      <w:pPr>
        <w:rPr>
          <w:b/>
          <w:bCs/>
        </w:rPr>
      </w:pPr>
    </w:p>
    <w:p w14:paraId="1AE1A151" w14:textId="422035B8" w:rsidR="00E43CCE" w:rsidRPr="00451C0E" w:rsidRDefault="00E43CCE" w:rsidP="00E43CCE">
      <w:pPr>
        <w:rPr>
          <w:b/>
          <w:bCs/>
        </w:rPr>
      </w:pPr>
      <w:r w:rsidRPr="00451C0E">
        <w:rPr>
          <w:b/>
          <w:bCs/>
        </w:rPr>
        <w:t>Objective:</w:t>
      </w:r>
    </w:p>
    <w:p w14:paraId="5CF65D0B" w14:textId="201E2C2F" w:rsidR="00E43CCE" w:rsidRDefault="00E43CCE" w:rsidP="00E43CCE">
      <w:r>
        <w:t xml:space="preserve">Support community arts and cultural development in </w:t>
      </w:r>
      <w:r w:rsidR="00635084">
        <w:t>within the Murray Arts footprint</w:t>
      </w:r>
      <w:r>
        <w:t xml:space="preserve"> through small grants that:</w:t>
      </w:r>
    </w:p>
    <w:p w14:paraId="470F9DE9" w14:textId="6C7C5EB4" w:rsidR="00DB3CDC" w:rsidRDefault="00DB3CDC" w:rsidP="00E43CCE">
      <w:pPr>
        <w:pStyle w:val="ListParagraph"/>
        <w:numPr>
          <w:ilvl w:val="0"/>
          <w:numId w:val="2"/>
        </w:numPr>
      </w:pPr>
      <w:r>
        <w:t>A</w:t>
      </w:r>
      <w:r w:rsidR="00E43CCE">
        <w:t>ssist locally determined community arts and cultural activities</w:t>
      </w:r>
      <w:r w:rsidR="00723BB2">
        <w:t>.</w:t>
      </w:r>
    </w:p>
    <w:p w14:paraId="40DD5CD8" w14:textId="7A4A061D" w:rsidR="00DB3CDC" w:rsidRDefault="00DB3CDC" w:rsidP="00E43CCE">
      <w:pPr>
        <w:pStyle w:val="ListParagraph"/>
        <w:numPr>
          <w:ilvl w:val="0"/>
          <w:numId w:val="2"/>
        </w:numPr>
      </w:pPr>
      <w:r>
        <w:t>I</w:t>
      </w:r>
      <w:r w:rsidR="00E43CCE">
        <w:t>ncrease opportunities for regionally based groups to access a diverse range of arts programs</w:t>
      </w:r>
      <w:r w:rsidR="00723BB2">
        <w:t>.</w:t>
      </w:r>
    </w:p>
    <w:p w14:paraId="6D0FEA20" w14:textId="04D987F1" w:rsidR="00DB3CDC" w:rsidRDefault="00DB3CDC" w:rsidP="00E43CCE">
      <w:pPr>
        <w:pStyle w:val="ListParagraph"/>
        <w:numPr>
          <w:ilvl w:val="0"/>
          <w:numId w:val="2"/>
        </w:numPr>
      </w:pPr>
      <w:r>
        <w:t>E</w:t>
      </w:r>
      <w:r w:rsidR="00E43CCE">
        <w:t>nable communities to explore and express their cultural identities</w:t>
      </w:r>
      <w:r w:rsidR="00723BB2">
        <w:t>.</w:t>
      </w:r>
    </w:p>
    <w:p w14:paraId="08687336" w14:textId="382B83DA" w:rsidR="00DB3CDC" w:rsidRDefault="00DB3CDC" w:rsidP="00E43CCE">
      <w:pPr>
        <w:pStyle w:val="ListParagraph"/>
        <w:numPr>
          <w:ilvl w:val="0"/>
          <w:numId w:val="2"/>
        </w:numPr>
      </w:pPr>
      <w:r>
        <w:lastRenderedPageBreak/>
        <w:t>B</w:t>
      </w:r>
      <w:r w:rsidR="00E43CCE">
        <w:t>ring social and economic benefits to the community through training, employment and</w:t>
      </w:r>
      <w:r w:rsidR="00723BB2">
        <w:t xml:space="preserve"> </w:t>
      </w:r>
      <w:r w:rsidR="00E43CCE">
        <w:t>promotional opportunities</w:t>
      </w:r>
      <w:r w:rsidR="00723BB2">
        <w:t>.</w:t>
      </w:r>
    </w:p>
    <w:p w14:paraId="1ABA4CE3" w14:textId="786E0627" w:rsidR="00DB3CDC" w:rsidRDefault="00DB3CDC" w:rsidP="00E43CCE">
      <w:pPr>
        <w:pStyle w:val="ListParagraph"/>
        <w:numPr>
          <w:ilvl w:val="0"/>
          <w:numId w:val="2"/>
        </w:numPr>
      </w:pPr>
      <w:r>
        <w:t>L</w:t>
      </w:r>
      <w:r w:rsidR="00E43CCE">
        <w:t>ead to greater awareness and appreciation of cultural diversity</w:t>
      </w:r>
      <w:r w:rsidR="00723BB2">
        <w:t>.</w:t>
      </w:r>
    </w:p>
    <w:p w14:paraId="12342DD4" w14:textId="2FEEFCB5" w:rsidR="00857B2C" w:rsidRPr="000B7780" w:rsidRDefault="00DB3CDC" w:rsidP="00C94F07">
      <w:pPr>
        <w:pStyle w:val="ListParagraph"/>
        <w:numPr>
          <w:ilvl w:val="0"/>
          <w:numId w:val="2"/>
        </w:numPr>
      </w:pPr>
      <w:r>
        <w:t>I</w:t>
      </w:r>
      <w:r w:rsidR="00E43CCE">
        <w:t>ncrease the sustainability and resilience of regionally based community arts organisations</w:t>
      </w:r>
      <w:r w:rsidR="00723BB2">
        <w:t>.</w:t>
      </w:r>
    </w:p>
    <w:p w14:paraId="0E4EB98F" w14:textId="726E72BA" w:rsidR="00C94F07" w:rsidRPr="00787F83" w:rsidRDefault="00787F83" w:rsidP="00C94F07">
      <w:pPr>
        <w:rPr>
          <w:b/>
          <w:bCs/>
        </w:rPr>
      </w:pPr>
      <w:r w:rsidRPr="00787F83">
        <w:rPr>
          <w:b/>
          <w:bCs/>
        </w:rPr>
        <w:t>Eligibility – Who Can Apply?</w:t>
      </w:r>
    </w:p>
    <w:p w14:paraId="3C868B1A" w14:textId="77777777" w:rsidR="00787F83" w:rsidRDefault="00C94F07" w:rsidP="00C94F07">
      <w:pPr>
        <w:pStyle w:val="ListParagraph"/>
        <w:numPr>
          <w:ilvl w:val="0"/>
          <w:numId w:val="3"/>
        </w:numPr>
      </w:pPr>
      <w:r>
        <w:t>A not-for-profit incorporated body</w:t>
      </w:r>
    </w:p>
    <w:p w14:paraId="30A83672" w14:textId="77777777" w:rsidR="00787F83" w:rsidRDefault="00C94F07" w:rsidP="00C94F07">
      <w:pPr>
        <w:pStyle w:val="ListParagraph"/>
        <w:numPr>
          <w:ilvl w:val="0"/>
          <w:numId w:val="3"/>
        </w:numPr>
      </w:pPr>
      <w:r>
        <w:t>A local government authority</w:t>
      </w:r>
    </w:p>
    <w:p w14:paraId="4B010F73" w14:textId="019A830D" w:rsidR="00787F83" w:rsidRDefault="00C94F07" w:rsidP="00C94F07">
      <w:pPr>
        <w:pStyle w:val="ListParagraph"/>
        <w:numPr>
          <w:ilvl w:val="0"/>
          <w:numId w:val="3"/>
        </w:numPr>
      </w:pPr>
      <w:r>
        <w:t>An individual or sole trader</w:t>
      </w:r>
      <w:r w:rsidR="00EA4955">
        <w:t xml:space="preserve"> with a</w:t>
      </w:r>
      <w:r w:rsidR="00284692">
        <w:t>n ABN</w:t>
      </w:r>
    </w:p>
    <w:p w14:paraId="5E101CD8" w14:textId="49AD58D8" w:rsidR="00787F83" w:rsidRDefault="00C94F07" w:rsidP="00C94F07">
      <w:pPr>
        <w:pStyle w:val="ListParagraph"/>
        <w:numPr>
          <w:ilvl w:val="0"/>
          <w:numId w:val="3"/>
        </w:numPr>
      </w:pPr>
      <w:r>
        <w:t xml:space="preserve">A collective </w:t>
      </w:r>
      <w:bookmarkStart w:id="0" w:name="_Hlk98311900"/>
      <w:r>
        <w:t>with a nominated administering</w:t>
      </w:r>
      <w:r w:rsidR="008A5FE5">
        <w:t>/</w:t>
      </w:r>
      <w:proofErr w:type="spellStart"/>
      <w:r w:rsidR="008A5FE5">
        <w:t>auspicing</w:t>
      </w:r>
      <w:proofErr w:type="spellEnd"/>
      <w:r>
        <w:t xml:space="preserve"> body (see </w:t>
      </w:r>
      <w:r w:rsidR="006721EC">
        <w:t xml:space="preserve">further details </w:t>
      </w:r>
      <w:r w:rsidR="001949A8">
        <w:t xml:space="preserve">regarding </w:t>
      </w:r>
      <w:proofErr w:type="spellStart"/>
      <w:r w:rsidR="001949A8">
        <w:t>auspicing</w:t>
      </w:r>
      <w:proofErr w:type="spellEnd"/>
      <w:r w:rsidR="001949A8">
        <w:t xml:space="preserve"> body </w:t>
      </w:r>
      <w:r>
        <w:t>below)</w:t>
      </w:r>
    </w:p>
    <w:p w14:paraId="2BCC2B3C" w14:textId="7309326B" w:rsidR="00FF72D4" w:rsidRPr="00D61DAE" w:rsidRDefault="00C10057" w:rsidP="00C94F07">
      <w:pPr>
        <w:pStyle w:val="ListParagraph"/>
        <w:numPr>
          <w:ilvl w:val="0"/>
          <w:numId w:val="3"/>
        </w:numPr>
      </w:pPr>
      <w:r w:rsidRPr="00D61DAE">
        <w:t xml:space="preserve">Applicants </w:t>
      </w:r>
      <w:r w:rsidR="00C01072" w:rsidRPr="00D61DAE">
        <w:t>who live</w:t>
      </w:r>
      <w:r w:rsidR="00F6081D" w:rsidRPr="00D61DAE">
        <w:t>, work</w:t>
      </w:r>
      <w:r w:rsidR="005B293F" w:rsidRPr="00D61DAE">
        <w:t>, or connect in an ongoing way</w:t>
      </w:r>
      <w:r w:rsidR="00F84343" w:rsidRPr="00D61DAE">
        <w:t xml:space="preserve"> with</w:t>
      </w:r>
      <w:r w:rsidR="00C01072" w:rsidRPr="00D61DAE">
        <w:t xml:space="preserve"> the geographical footprint of Murray Arts (Albury City</w:t>
      </w:r>
      <w:r w:rsidR="00A130A3" w:rsidRPr="00D61DAE">
        <w:t>, Federation</w:t>
      </w:r>
      <w:r w:rsidR="004B78FE" w:rsidRPr="00D61DAE">
        <w:t xml:space="preserve"> Shire</w:t>
      </w:r>
      <w:r w:rsidR="00A130A3" w:rsidRPr="00D61DAE">
        <w:t>, Greater Hume</w:t>
      </w:r>
      <w:r w:rsidR="004B78FE" w:rsidRPr="00D61DAE">
        <w:t xml:space="preserve">, City of Wodonga, </w:t>
      </w:r>
      <w:r w:rsidR="001C6CD7" w:rsidRPr="00D61DAE">
        <w:t>Indigo Shire, and Towong Shire</w:t>
      </w:r>
      <w:r w:rsidR="00A130A3" w:rsidRPr="00D61DAE">
        <w:t xml:space="preserve"> LGA’s</w:t>
      </w:r>
      <w:r w:rsidR="00D61DAE" w:rsidRPr="00D61DAE">
        <w:t>)</w:t>
      </w:r>
    </w:p>
    <w:bookmarkEnd w:id="0"/>
    <w:p w14:paraId="00E2BBE7" w14:textId="15327494" w:rsidR="00C94F07" w:rsidRDefault="00C94F07" w:rsidP="00C94F07">
      <w:pPr>
        <w:pStyle w:val="ListParagraph"/>
        <w:numPr>
          <w:ilvl w:val="0"/>
          <w:numId w:val="3"/>
        </w:numPr>
      </w:pPr>
      <w:r>
        <w:t xml:space="preserve">Applicants are required to have a current certificate of currency for </w:t>
      </w:r>
      <w:proofErr w:type="spellStart"/>
      <w:r>
        <w:t>Broadform</w:t>
      </w:r>
      <w:proofErr w:type="spellEnd"/>
      <w:r>
        <w:t xml:space="preserve"> Liability or</w:t>
      </w:r>
      <w:r w:rsidR="00801875">
        <w:t xml:space="preserve"> </w:t>
      </w:r>
      <w:r>
        <w:t>‘Public Liability’ Insurance</w:t>
      </w:r>
      <w:r w:rsidR="0044212A">
        <w:t>.</w:t>
      </w:r>
      <w:r w:rsidR="006F4284">
        <w:t xml:space="preserve"> </w:t>
      </w:r>
      <w:r w:rsidR="0044212A">
        <w:t>I</w:t>
      </w:r>
      <w:r w:rsidR="006F4284">
        <w:t>n the case of individual or group applicants, each individual/sole trader involved</w:t>
      </w:r>
      <w:r w:rsidR="007D5504">
        <w:t>/paid</w:t>
      </w:r>
      <w:r w:rsidR="006F4284">
        <w:t xml:space="preserve"> </w:t>
      </w:r>
      <w:r w:rsidR="007D5504">
        <w:t>as part of the funding,</w:t>
      </w:r>
      <w:r w:rsidR="006F4284">
        <w:t xml:space="preserve"> will </w:t>
      </w:r>
      <w:r w:rsidR="0044212A">
        <w:t xml:space="preserve">need to hold and show proof of their own ‘Public Liability’ Insurance. </w:t>
      </w:r>
    </w:p>
    <w:p w14:paraId="5D37880B" w14:textId="77777777" w:rsidR="00B40461" w:rsidRDefault="00B40461" w:rsidP="00C94F07">
      <w:pPr>
        <w:rPr>
          <w:b/>
          <w:bCs/>
        </w:rPr>
      </w:pPr>
    </w:p>
    <w:p w14:paraId="154F39E1" w14:textId="5DC80368" w:rsidR="00C94F07" w:rsidRPr="00801875" w:rsidRDefault="00801875" w:rsidP="00C94F07">
      <w:pPr>
        <w:rPr>
          <w:b/>
          <w:bCs/>
        </w:rPr>
      </w:pPr>
      <w:r w:rsidRPr="00801875">
        <w:rPr>
          <w:b/>
          <w:bCs/>
        </w:rPr>
        <w:t xml:space="preserve">Who Is Not Eligible </w:t>
      </w:r>
      <w:r w:rsidR="00DB2A29">
        <w:rPr>
          <w:b/>
          <w:bCs/>
        </w:rPr>
        <w:t>t</w:t>
      </w:r>
      <w:r w:rsidRPr="00801875">
        <w:rPr>
          <w:b/>
          <w:bCs/>
        </w:rPr>
        <w:t>o Apply?</w:t>
      </w:r>
    </w:p>
    <w:p w14:paraId="64A19543" w14:textId="5EB8D99D" w:rsidR="00DB2A29" w:rsidRDefault="00C94F07" w:rsidP="00C94F07">
      <w:pPr>
        <w:pStyle w:val="ListParagraph"/>
        <w:numPr>
          <w:ilvl w:val="0"/>
          <w:numId w:val="4"/>
        </w:numPr>
      </w:pPr>
      <w:r>
        <w:t xml:space="preserve">Individuals and Groups based </w:t>
      </w:r>
      <w:r w:rsidR="001C6CD7">
        <w:t>outside of the Murray Arts footprint</w:t>
      </w:r>
      <w:r w:rsidR="00C42812">
        <w:t xml:space="preserve"> who do not </w:t>
      </w:r>
      <w:proofErr w:type="gramStart"/>
      <w:r w:rsidR="00C42812">
        <w:t>work</w:t>
      </w:r>
      <w:r w:rsidR="00885915">
        <w:t>, or</w:t>
      </w:r>
      <w:proofErr w:type="gramEnd"/>
      <w:r w:rsidR="00885915">
        <w:t xml:space="preserve"> connect in an ongoing way with the LGA’s in the Murray Arts footprint</w:t>
      </w:r>
      <w:r>
        <w:t xml:space="preserve">, or for projects based </w:t>
      </w:r>
      <w:r w:rsidR="005B2013">
        <w:t>outside of this area.</w:t>
      </w:r>
    </w:p>
    <w:p w14:paraId="30A81970" w14:textId="77777777" w:rsidR="00DB2A29" w:rsidRDefault="00C94F07" w:rsidP="00C94F07">
      <w:pPr>
        <w:pStyle w:val="ListParagraph"/>
        <w:numPr>
          <w:ilvl w:val="0"/>
          <w:numId w:val="4"/>
        </w:numPr>
      </w:pPr>
      <w:r>
        <w:t>Professional touring groups</w:t>
      </w:r>
    </w:p>
    <w:p w14:paraId="5E3E1BFD" w14:textId="77777777" w:rsidR="00DB2A29" w:rsidRDefault="00C94F07" w:rsidP="00C94F07">
      <w:pPr>
        <w:pStyle w:val="ListParagraph"/>
        <w:numPr>
          <w:ilvl w:val="0"/>
          <w:numId w:val="4"/>
        </w:numPr>
      </w:pPr>
      <w:r>
        <w:t>Commercial enterprises</w:t>
      </w:r>
    </w:p>
    <w:p w14:paraId="75AA9449" w14:textId="77777777" w:rsidR="00DB2A29" w:rsidRDefault="00C94F07" w:rsidP="00C94F07">
      <w:pPr>
        <w:pStyle w:val="ListParagraph"/>
        <w:numPr>
          <w:ilvl w:val="0"/>
          <w:numId w:val="4"/>
        </w:numPr>
      </w:pPr>
      <w:r>
        <w:t>Groups/ensembles and unincorporated associations with no administering body</w:t>
      </w:r>
    </w:p>
    <w:p w14:paraId="5B74D334" w14:textId="77777777" w:rsidR="00DB2A29" w:rsidRDefault="00C94F07" w:rsidP="00C94F07">
      <w:pPr>
        <w:pStyle w:val="ListParagraph"/>
        <w:numPr>
          <w:ilvl w:val="0"/>
          <w:numId w:val="4"/>
        </w:numPr>
      </w:pPr>
      <w:r>
        <w:t>Regional Conservatoriums</w:t>
      </w:r>
    </w:p>
    <w:p w14:paraId="1FF30535" w14:textId="28727AE0" w:rsidR="008553A3" w:rsidRDefault="00936578" w:rsidP="00936578">
      <w:pPr>
        <w:pStyle w:val="ListParagraph"/>
        <w:numPr>
          <w:ilvl w:val="0"/>
          <w:numId w:val="4"/>
        </w:numPr>
      </w:pPr>
      <w:r>
        <w:t>Previous recipients where the use of the grant did not, in the opinion of the CASP</w:t>
      </w:r>
      <w:r w:rsidR="001A571E">
        <w:t xml:space="preserve"> </w:t>
      </w:r>
      <w:r>
        <w:t>assessment panel, conform to the spirit and intentions of these guidelines</w:t>
      </w:r>
    </w:p>
    <w:p w14:paraId="3664D40F" w14:textId="542A483A" w:rsidR="003F1417" w:rsidRDefault="00936578" w:rsidP="00936578">
      <w:pPr>
        <w:pStyle w:val="ListParagraph"/>
        <w:numPr>
          <w:ilvl w:val="0"/>
          <w:numId w:val="4"/>
        </w:numPr>
      </w:pPr>
      <w:r>
        <w:t>State and federal government departments, including schools (except P&amp;Cs who are</w:t>
      </w:r>
      <w:r w:rsidR="008553A3">
        <w:t xml:space="preserve"> </w:t>
      </w:r>
      <w:r>
        <w:t>incorporated)</w:t>
      </w:r>
      <w:r w:rsidR="00A71808">
        <w:t>.</w:t>
      </w:r>
    </w:p>
    <w:p w14:paraId="32D1C5EE" w14:textId="42E7DD86" w:rsidR="0082090F" w:rsidRDefault="00936578" w:rsidP="00936578">
      <w:pPr>
        <w:pStyle w:val="ListParagraph"/>
        <w:numPr>
          <w:ilvl w:val="0"/>
          <w:numId w:val="4"/>
        </w:numPr>
      </w:pPr>
      <w:r>
        <w:t>Organisations that have overdue reports or acquittals for any funding programs</w:t>
      </w:r>
      <w:r w:rsidR="003F1417">
        <w:t xml:space="preserve"> </w:t>
      </w:r>
      <w:r>
        <w:t xml:space="preserve">administered by </w:t>
      </w:r>
      <w:r w:rsidR="00A71808">
        <w:t>Murray Arts.</w:t>
      </w:r>
    </w:p>
    <w:p w14:paraId="35F0D583" w14:textId="738B6DD5" w:rsidR="00B122D3" w:rsidRDefault="00B122D3" w:rsidP="00936578">
      <w:pPr>
        <w:pStyle w:val="ListParagraph"/>
        <w:numPr>
          <w:ilvl w:val="0"/>
          <w:numId w:val="4"/>
        </w:numPr>
      </w:pPr>
      <w:r>
        <w:t xml:space="preserve">Applicants who live in another </w:t>
      </w:r>
      <w:r w:rsidR="00B21E05">
        <w:t xml:space="preserve">Regional Arts Development Organisation’s </w:t>
      </w:r>
      <w:r w:rsidR="00E330EA">
        <w:t xml:space="preserve">geographical </w:t>
      </w:r>
      <w:r w:rsidR="00B21E05">
        <w:t>footprint</w:t>
      </w:r>
      <w:r w:rsidR="00DD1DCF">
        <w:t xml:space="preserve">, and do not </w:t>
      </w:r>
      <w:r w:rsidR="0056282D">
        <w:t>work or connect in an ongoing way with the LGA’s in the Murray Arts footprint</w:t>
      </w:r>
      <w:r w:rsidR="00B21E05">
        <w:t xml:space="preserve"> (i.e. outside of </w:t>
      </w:r>
      <w:r w:rsidR="00AB7682" w:rsidRPr="00AB7682">
        <w:t>Albury City, Federation Shire, Greater Hume, City of Wodonga, Indigo Shire, and Towong Shire LGA’s</w:t>
      </w:r>
      <w:r w:rsidR="007C5CCE" w:rsidRPr="00AB7682">
        <w:t>)</w:t>
      </w:r>
      <w:r w:rsidR="0056282D">
        <w:t>.</w:t>
      </w:r>
    </w:p>
    <w:p w14:paraId="07E939C7" w14:textId="4E89B8C3" w:rsidR="00936578" w:rsidRDefault="00936578" w:rsidP="0082090F">
      <w:pPr>
        <w:pStyle w:val="ListParagraph"/>
        <w:numPr>
          <w:ilvl w:val="0"/>
          <w:numId w:val="4"/>
        </w:numPr>
      </w:pPr>
      <w:r w:rsidRPr="006F6C11">
        <w:t xml:space="preserve">Applicants who have not discussed their project with </w:t>
      </w:r>
      <w:r w:rsidR="0082090F" w:rsidRPr="006F6C11">
        <w:t>a Murray Arts Staff member</w:t>
      </w:r>
      <w:r w:rsidR="00AB7682">
        <w:t>.</w:t>
      </w:r>
    </w:p>
    <w:p w14:paraId="6B942BC0" w14:textId="0240FB1C" w:rsidR="00D94CFF" w:rsidRPr="00D61DAE" w:rsidRDefault="006E07C6" w:rsidP="0082090F">
      <w:pPr>
        <w:pStyle w:val="ListParagraph"/>
        <w:numPr>
          <w:ilvl w:val="0"/>
          <w:numId w:val="4"/>
        </w:numPr>
      </w:pPr>
      <w:proofErr w:type="gramStart"/>
      <w:r w:rsidRPr="00D61DAE">
        <w:t>Each individual</w:t>
      </w:r>
      <w:proofErr w:type="gramEnd"/>
      <w:r w:rsidRPr="00D61DAE">
        <w:t xml:space="preserve"> or organisation may submit only one application per funding round</w:t>
      </w:r>
      <w:r w:rsidR="00CD73B4" w:rsidRPr="00D61DAE">
        <w:t>.</w:t>
      </w:r>
    </w:p>
    <w:p w14:paraId="73B80BB4" w14:textId="3F6E6445" w:rsidR="00CD73B4" w:rsidRPr="00D61DAE" w:rsidRDefault="00CD73B4" w:rsidP="0082090F">
      <w:pPr>
        <w:pStyle w:val="ListParagraph"/>
        <w:numPr>
          <w:ilvl w:val="0"/>
          <w:numId w:val="4"/>
        </w:numPr>
      </w:pPr>
      <w:r w:rsidRPr="00D61DAE">
        <w:t xml:space="preserve">Applicants who apply as an individual are not eligible to also be listed as the lead applicant on an </w:t>
      </w:r>
      <w:r w:rsidR="00594131" w:rsidRPr="00D61DAE">
        <w:t>organisational application in the same round.</w:t>
      </w:r>
    </w:p>
    <w:p w14:paraId="4EE8D6AF" w14:textId="34A833AD" w:rsidR="00594131" w:rsidRPr="00D61DAE" w:rsidRDefault="00594131" w:rsidP="0082090F">
      <w:pPr>
        <w:pStyle w:val="ListParagraph"/>
        <w:numPr>
          <w:ilvl w:val="0"/>
          <w:numId w:val="4"/>
        </w:numPr>
      </w:pPr>
      <w:r w:rsidRPr="00D61DAE">
        <w:t>Individuals may, however, be involved as a collaborator or participant in other applications, provided they are not the lead applicant.</w:t>
      </w:r>
    </w:p>
    <w:p w14:paraId="31EBFD5E" w14:textId="77777777" w:rsidR="007B0226" w:rsidRDefault="007B0226" w:rsidP="007B0226">
      <w:pPr>
        <w:rPr>
          <w:b/>
          <w:bCs/>
        </w:rPr>
      </w:pPr>
    </w:p>
    <w:p w14:paraId="0D78BC82" w14:textId="70DC13BE" w:rsidR="007B0226" w:rsidRPr="007B0226" w:rsidRDefault="007B0226" w:rsidP="007B0226">
      <w:pPr>
        <w:rPr>
          <w:b/>
          <w:bCs/>
        </w:rPr>
      </w:pPr>
      <w:r w:rsidRPr="007B0226">
        <w:rPr>
          <w:b/>
          <w:bCs/>
        </w:rPr>
        <w:lastRenderedPageBreak/>
        <w:t>Funding Range</w:t>
      </w:r>
    </w:p>
    <w:p w14:paraId="44EAA7BC" w14:textId="61E23C9D" w:rsidR="007B0226" w:rsidRDefault="007B0226" w:rsidP="007B0226">
      <w:r>
        <w:t>Grants of between $500 and $5,000 are available primarily for professional artists’ fees, travel and</w:t>
      </w:r>
      <w:r w:rsidR="00965031">
        <w:t xml:space="preserve"> </w:t>
      </w:r>
      <w:r>
        <w:t xml:space="preserve">accommodation. </w:t>
      </w:r>
    </w:p>
    <w:p w14:paraId="7858DFBF" w14:textId="77777777" w:rsidR="009E7B74" w:rsidRDefault="009E7B74" w:rsidP="007B0226"/>
    <w:p w14:paraId="04FB57EC" w14:textId="77777777" w:rsidR="00D3104B" w:rsidRDefault="00D3104B" w:rsidP="007B0226">
      <w:pPr>
        <w:rPr>
          <w:b/>
          <w:bCs/>
        </w:rPr>
      </w:pPr>
    </w:p>
    <w:p w14:paraId="7FC79B84" w14:textId="61A9ED82" w:rsidR="007B0226" w:rsidRPr="00E442E2" w:rsidRDefault="00E442E2" w:rsidP="007B0226">
      <w:pPr>
        <w:rPr>
          <w:b/>
          <w:bCs/>
        </w:rPr>
      </w:pPr>
      <w:r w:rsidRPr="00E442E2">
        <w:rPr>
          <w:b/>
          <w:bCs/>
        </w:rPr>
        <w:t>Eligible Activities</w:t>
      </w:r>
    </w:p>
    <w:p w14:paraId="27A617E8" w14:textId="77777777" w:rsidR="007B0226" w:rsidRDefault="007B0226" w:rsidP="007B0226">
      <w:r>
        <w:t>Projects including but not limited to:</w:t>
      </w:r>
    </w:p>
    <w:p w14:paraId="178ED13E" w14:textId="77777777" w:rsidR="00E442E2" w:rsidRDefault="007B0226" w:rsidP="007B0226">
      <w:pPr>
        <w:pStyle w:val="ListParagraph"/>
        <w:numPr>
          <w:ilvl w:val="0"/>
          <w:numId w:val="5"/>
        </w:numPr>
      </w:pPr>
      <w:r>
        <w:t>Workshops</w:t>
      </w:r>
    </w:p>
    <w:p w14:paraId="703135D4" w14:textId="77777777" w:rsidR="00E442E2" w:rsidRDefault="007B0226" w:rsidP="007B0226">
      <w:pPr>
        <w:pStyle w:val="ListParagraph"/>
        <w:numPr>
          <w:ilvl w:val="0"/>
          <w:numId w:val="5"/>
        </w:numPr>
      </w:pPr>
      <w:r>
        <w:t>Arts activities as part of community festivals or events</w:t>
      </w:r>
    </w:p>
    <w:p w14:paraId="10BEC958" w14:textId="77777777" w:rsidR="00E442E2" w:rsidRDefault="007B0226" w:rsidP="007B0226">
      <w:pPr>
        <w:pStyle w:val="ListParagraph"/>
        <w:numPr>
          <w:ilvl w:val="0"/>
          <w:numId w:val="5"/>
        </w:numPr>
      </w:pPr>
      <w:r>
        <w:t>Artist-in-residence programs</w:t>
      </w:r>
    </w:p>
    <w:p w14:paraId="1533BA0D" w14:textId="77777777" w:rsidR="00E442E2" w:rsidRDefault="007B0226" w:rsidP="007B0226">
      <w:pPr>
        <w:pStyle w:val="ListParagraph"/>
        <w:numPr>
          <w:ilvl w:val="0"/>
          <w:numId w:val="5"/>
        </w:numPr>
      </w:pPr>
      <w:r>
        <w:t>Public art and design projects</w:t>
      </w:r>
    </w:p>
    <w:p w14:paraId="54EE96BA" w14:textId="77777777" w:rsidR="00E442E2" w:rsidRDefault="007B0226" w:rsidP="007B0226">
      <w:pPr>
        <w:pStyle w:val="ListParagraph"/>
        <w:numPr>
          <w:ilvl w:val="0"/>
          <w:numId w:val="5"/>
        </w:numPr>
      </w:pPr>
      <w:r>
        <w:t>Performances</w:t>
      </w:r>
    </w:p>
    <w:p w14:paraId="145C63BC" w14:textId="77777777" w:rsidR="00E442E2" w:rsidRDefault="007B0226" w:rsidP="007B0226">
      <w:pPr>
        <w:pStyle w:val="ListParagraph"/>
        <w:numPr>
          <w:ilvl w:val="0"/>
          <w:numId w:val="5"/>
        </w:numPr>
      </w:pPr>
      <w:r>
        <w:t>Arts and cultural directories</w:t>
      </w:r>
    </w:p>
    <w:p w14:paraId="16DBEDBA" w14:textId="77777777" w:rsidR="00E442E2" w:rsidRDefault="007B0226" w:rsidP="007B0226">
      <w:pPr>
        <w:pStyle w:val="ListParagraph"/>
        <w:numPr>
          <w:ilvl w:val="0"/>
          <w:numId w:val="5"/>
        </w:numPr>
      </w:pPr>
      <w:r>
        <w:t>Community seminars and forums</w:t>
      </w:r>
    </w:p>
    <w:p w14:paraId="7D0B9462" w14:textId="77777777" w:rsidR="00E442E2" w:rsidRDefault="007B0226" w:rsidP="007B0226">
      <w:pPr>
        <w:pStyle w:val="ListParagraph"/>
        <w:numPr>
          <w:ilvl w:val="0"/>
          <w:numId w:val="5"/>
        </w:numPr>
      </w:pPr>
      <w:r>
        <w:t>Exhibitions</w:t>
      </w:r>
    </w:p>
    <w:p w14:paraId="340888AB" w14:textId="372762F1" w:rsidR="007B0226" w:rsidRDefault="007B0226" w:rsidP="007B0226">
      <w:pPr>
        <w:pStyle w:val="ListParagraph"/>
        <w:numPr>
          <w:ilvl w:val="0"/>
          <w:numId w:val="5"/>
        </w:numPr>
      </w:pPr>
      <w:r>
        <w:t>Other local arts initiatives</w:t>
      </w:r>
    </w:p>
    <w:p w14:paraId="055C4E0A" w14:textId="77777777" w:rsidR="00CF48E1" w:rsidRDefault="00CF48E1" w:rsidP="007B0226">
      <w:pPr>
        <w:rPr>
          <w:b/>
          <w:bCs/>
        </w:rPr>
      </w:pPr>
    </w:p>
    <w:p w14:paraId="466FC8EF" w14:textId="3A91C5C1" w:rsidR="007B0226" w:rsidRPr="00E442E2" w:rsidRDefault="00E442E2" w:rsidP="007B0226">
      <w:pPr>
        <w:rPr>
          <w:b/>
          <w:bCs/>
        </w:rPr>
      </w:pPr>
      <w:r w:rsidRPr="00E442E2">
        <w:rPr>
          <w:b/>
          <w:bCs/>
        </w:rPr>
        <w:t>CASP Will Not Fund:</w:t>
      </w:r>
    </w:p>
    <w:p w14:paraId="47151CC6" w14:textId="77777777" w:rsidR="00E442E2" w:rsidRDefault="007B0226" w:rsidP="007B0226">
      <w:pPr>
        <w:pStyle w:val="ListParagraph"/>
        <w:numPr>
          <w:ilvl w:val="0"/>
          <w:numId w:val="6"/>
        </w:numPr>
      </w:pPr>
      <w:r>
        <w:t>Core administrative costs, office costs or the purchase of equipment</w:t>
      </w:r>
    </w:p>
    <w:p w14:paraId="7F8A279D" w14:textId="77777777" w:rsidR="00E442E2" w:rsidRDefault="007B0226" w:rsidP="007B0226">
      <w:pPr>
        <w:pStyle w:val="ListParagraph"/>
        <w:numPr>
          <w:ilvl w:val="0"/>
          <w:numId w:val="6"/>
        </w:numPr>
      </w:pPr>
      <w:r>
        <w:t>Capital expenses</w:t>
      </w:r>
    </w:p>
    <w:p w14:paraId="121E0831" w14:textId="77777777" w:rsidR="00E442E2" w:rsidRDefault="007B0226" w:rsidP="007B0226">
      <w:pPr>
        <w:pStyle w:val="ListParagraph"/>
        <w:numPr>
          <w:ilvl w:val="0"/>
          <w:numId w:val="6"/>
        </w:numPr>
      </w:pPr>
      <w:r>
        <w:t>Production costs of films, videos, books or other publications</w:t>
      </w:r>
    </w:p>
    <w:p w14:paraId="2E42B644" w14:textId="77777777" w:rsidR="00E442E2" w:rsidRDefault="007B0226" w:rsidP="007B0226">
      <w:pPr>
        <w:pStyle w:val="ListParagraph"/>
        <w:numPr>
          <w:ilvl w:val="0"/>
          <w:numId w:val="6"/>
        </w:numPr>
      </w:pPr>
      <w:r>
        <w:t>Competitions</w:t>
      </w:r>
    </w:p>
    <w:p w14:paraId="113E7408" w14:textId="77777777" w:rsidR="00E442E2" w:rsidRDefault="007B0226" w:rsidP="007B0226">
      <w:pPr>
        <w:pStyle w:val="ListParagraph"/>
        <w:numPr>
          <w:ilvl w:val="0"/>
          <w:numId w:val="6"/>
        </w:numPr>
      </w:pPr>
      <w:r>
        <w:t>Fundraising events</w:t>
      </w:r>
    </w:p>
    <w:p w14:paraId="33C43588" w14:textId="77777777" w:rsidR="00E442E2" w:rsidRDefault="007B0226" w:rsidP="007B0226">
      <w:pPr>
        <w:pStyle w:val="ListParagraph"/>
        <w:numPr>
          <w:ilvl w:val="0"/>
          <w:numId w:val="6"/>
        </w:numPr>
      </w:pPr>
      <w:r>
        <w:t>Prizes and adjudication fees</w:t>
      </w:r>
    </w:p>
    <w:p w14:paraId="34E38EB0" w14:textId="77777777" w:rsidR="00E442E2" w:rsidRDefault="007B0226" w:rsidP="007B0226">
      <w:pPr>
        <w:pStyle w:val="ListParagraph"/>
        <w:numPr>
          <w:ilvl w:val="0"/>
          <w:numId w:val="6"/>
        </w:numPr>
      </w:pPr>
      <w:r>
        <w:t>General operating expenses or ongoing costs of long-term continuous projects</w:t>
      </w:r>
    </w:p>
    <w:p w14:paraId="11EAF5F0" w14:textId="77777777" w:rsidR="00F414C1" w:rsidRDefault="007B0226" w:rsidP="007B0226">
      <w:pPr>
        <w:pStyle w:val="ListParagraph"/>
        <w:numPr>
          <w:ilvl w:val="0"/>
          <w:numId w:val="6"/>
        </w:numPr>
      </w:pPr>
      <w:r>
        <w:t>Projects that have commenced or are completed</w:t>
      </w:r>
    </w:p>
    <w:p w14:paraId="1B1261A7" w14:textId="360A279E" w:rsidR="00F414C1" w:rsidRDefault="00DC3C41" w:rsidP="007B0226">
      <w:pPr>
        <w:pStyle w:val="ListParagraph"/>
        <w:numPr>
          <w:ilvl w:val="0"/>
          <w:numId w:val="6"/>
        </w:numPr>
      </w:pPr>
      <w:proofErr w:type="gramStart"/>
      <w:r>
        <w:t>Non</w:t>
      </w:r>
      <w:r w:rsidR="00AF1664">
        <w:t xml:space="preserve"> arts</w:t>
      </w:r>
      <w:proofErr w:type="gramEnd"/>
      <w:r w:rsidR="00AF1664">
        <w:t>-related activities</w:t>
      </w:r>
    </w:p>
    <w:p w14:paraId="7544C5EF" w14:textId="1D5EF32F" w:rsidR="007B0226" w:rsidRPr="00D61DAE" w:rsidRDefault="007B0226" w:rsidP="007B0226">
      <w:pPr>
        <w:pStyle w:val="ListParagraph"/>
        <w:numPr>
          <w:ilvl w:val="0"/>
          <w:numId w:val="6"/>
        </w:numPr>
      </w:pPr>
      <w:r w:rsidRPr="00D61DAE">
        <w:t>Activities which could be considered part of the curriculum for schools or tertiary</w:t>
      </w:r>
      <w:r w:rsidR="00F414C1" w:rsidRPr="00D61DAE">
        <w:t xml:space="preserve"> </w:t>
      </w:r>
      <w:r w:rsidRPr="00D61DAE">
        <w:t>institutions</w:t>
      </w:r>
    </w:p>
    <w:p w14:paraId="5655F9CE" w14:textId="77777777" w:rsidR="00F414C1" w:rsidRDefault="00F414C1" w:rsidP="007B0226"/>
    <w:p w14:paraId="49B3984C" w14:textId="2D13D8D2" w:rsidR="008A5FE5" w:rsidRDefault="008A5FE5" w:rsidP="007B0226">
      <w:pPr>
        <w:rPr>
          <w:b/>
          <w:bCs/>
        </w:rPr>
      </w:pPr>
      <w:r w:rsidRPr="00E47AE2">
        <w:rPr>
          <w:b/>
          <w:bCs/>
        </w:rPr>
        <w:t xml:space="preserve">Administrator or </w:t>
      </w:r>
      <w:proofErr w:type="spellStart"/>
      <w:r w:rsidRPr="00E47AE2">
        <w:rPr>
          <w:b/>
          <w:bCs/>
        </w:rPr>
        <w:t>Au</w:t>
      </w:r>
      <w:r w:rsidR="00E47AE2" w:rsidRPr="00E47AE2">
        <w:rPr>
          <w:b/>
          <w:bCs/>
        </w:rPr>
        <w:t>spicing</w:t>
      </w:r>
      <w:proofErr w:type="spellEnd"/>
      <w:r w:rsidR="00E47AE2" w:rsidRPr="00E47AE2">
        <w:rPr>
          <w:b/>
          <w:bCs/>
        </w:rPr>
        <w:t xml:space="preserve"> Body</w:t>
      </w:r>
    </w:p>
    <w:p w14:paraId="35511B64" w14:textId="4CEDBAD6" w:rsidR="008F213B" w:rsidRDefault="00F93FFD" w:rsidP="00F93F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When applying for a grant, </w:t>
      </w:r>
      <w:r w:rsidR="003A1D80">
        <w:rPr>
          <w:sz w:val="22"/>
          <w:szCs w:val="22"/>
        </w:rPr>
        <w:t xml:space="preserve">majority of </w:t>
      </w:r>
      <w:r>
        <w:rPr>
          <w:sz w:val="22"/>
          <w:szCs w:val="22"/>
        </w:rPr>
        <w:t>funding bodies require the applicant to be a legal entity</w:t>
      </w:r>
      <w:r w:rsidR="00140328">
        <w:rPr>
          <w:sz w:val="22"/>
          <w:szCs w:val="22"/>
        </w:rPr>
        <w:t xml:space="preserve"> (such as a</w:t>
      </w:r>
      <w:r w:rsidR="00317993">
        <w:rPr>
          <w:sz w:val="22"/>
          <w:szCs w:val="22"/>
        </w:rPr>
        <w:t>n</w:t>
      </w:r>
      <w:r w:rsidR="00140328">
        <w:rPr>
          <w:sz w:val="22"/>
          <w:szCs w:val="22"/>
        </w:rPr>
        <w:t xml:space="preserve"> Incorporated </w:t>
      </w:r>
      <w:r w:rsidR="00E803AB">
        <w:rPr>
          <w:sz w:val="22"/>
          <w:szCs w:val="22"/>
        </w:rPr>
        <w:t>Organisation</w:t>
      </w:r>
      <w:r w:rsidR="00140328">
        <w:rPr>
          <w:sz w:val="22"/>
          <w:szCs w:val="22"/>
        </w:rPr>
        <w:t>)</w:t>
      </w:r>
      <w:r>
        <w:rPr>
          <w:sz w:val="22"/>
          <w:szCs w:val="22"/>
        </w:rPr>
        <w:t xml:space="preserve"> or to </w:t>
      </w:r>
      <w:r w:rsidR="00E803AB">
        <w:rPr>
          <w:sz w:val="22"/>
          <w:szCs w:val="22"/>
        </w:rPr>
        <w:t xml:space="preserve">have an Administrator or </w:t>
      </w:r>
      <w:proofErr w:type="spellStart"/>
      <w:r w:rsidR="00E803AB">
        <w:rPr>
          <w:sz w:val="22"/>
          <w:szCs w:val="22"/>
        </w:rPr>
        <w:t>A</w:t>
      </w:r>
      <w:r>
        <w:rPr>
          <w:sz w:val="22"/>
          <w:szCs w:val="22"/>
        </w:rPr>
        <w:t>uspic</w:t>
      </w:r>
      <w:r w:rsidR="00E803AB">
        <w:rPr>
          <w:sz w:val="22"/>
          <w:szCs w:val="22"/>
        </w:rPr>
        <w:t>ing</w:t>
      </w:r>
      <w:proofErr w:type="spellEnd"/>
      <w:r w:rsidR="00E803AB">
        <w:rPr>
          <w:sz w:val="22"/>
          <w:szCs w:val="22"/>
        </w:rPr>
        <w:t xml:space="preserve"> body</w:t>
      </w:r>
      <w:r>
        <w:rPr>
          <w:sz w:val="22"/>
          <w:szCs w:val="22"/>
        </w:rPr>
        <w:t xml:space="preserve">. This is to ensure there is some protection in that any grant money is spent in line with the successful application. There is </w:t>
      </w:r>
      <w:r w:rsidR="008F213B">
        <w:rPr>
          <w:sz w:val="22"/>
          <w:szCs w:val="22"/>
        </w:rPr>
        <w:t>often too</w:t>
      </w:r>
      <w:r>
        <w:rPr>
          <w:sz w:val="22"/>
          <w:szCs w:val="22"/>
        </w:rPr>
        <w:t xml:space="preserve"> much risk for a funding body to deposit funds into someone’s personal bank account. By giving the funds to a legal entity that has audited financial statements, they can be sure the funds aren’t misused.</w:t>
      </w:r>
    </w:p>
    <w:p w14:paraId="751F00F1" w14:textId="77777777" w:rsidR="0080733F" w:rsidRDefault="0080733F" w:rsidP="00F93FFD">
      <w:pPr>
        <w:pStyle w:val="Default"/>
        <w:rPr>
          <w:sz w:val="22"/>
          <w:szCs w:val="22"/>
        </w:rPr>
      </w:pPr>
    </w:p>
    <w:p w14:paraId="44471563" w14:textId="7AA6E8CB" w:rsidR="0080733F" w:rsidRDefault="009C0BE0" w:rsidP="00F93F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For the 202</w:t>
      </w:r>
      <w:r w:rsidR="0056604A">
        <w:rPr>
          <w:sz w:val="22"/>
          <w:szCs w:val="22"/>
        </w:rPr>
        <w:t>5</w:t>
      </w:r>
      <w:r>
        <w:rPr>
          <w:sz w:val="22"/>
          <w:szCs w:val="22"/>
        </w:rPr>
        <w:t xml:space="preserve"> CASP Murray Arts round </w:t>
      </w:r>
      <w:r w:rsidR="00305C36">
        <w:rPr>
          <w:sz w:val="22"/>
          <w:szCs w:val="22"/>
        </w:rPr>
        <w:t xml:space="preserve">non-incorporated groups/collectives will be required to have an Administrator or </w:t>
      </w:r>
      <w:proofErr w:type="spellStart"/>
      <w:r w:rsidR="00305C36">
        <w:rPr>
          <w:sz w:val="22"/>
          <w:szCs w:val="22"/>
        </w:rPr>
        <w:t>Auspicing</w:t>
      </w:r>
      <w:proofErr w:type="spellEnd"/>
      <w:r w:rsidR="00305C36">
        <w:rPr>
          <w:sz w:val="22"/>
          <w:szCs w:val="22"/>
        </w:rPr>
        <w:t xml:space="preserve"> bo</w:t>
      </w:r>
      <w:r w:rsidR="00726700">
        <w:rPr>
          <w:sz w:val="22"/>
          <w:szCs w:val="22"/>
        </w:rPr>
        <w:t>dy</w:t>
      </w:r>
      <w:r w:rsidR="00A136A2">
        <w:rPr>
          <w:sz w:val="22"/>
          <w:szCs w:val="22"/>
        </w:rPr>
        <w:t xml:space="preserve">. </w:t>
      </w:r>
      <w:r w:rsidR="006010DA">
        <w:rPr>
          <w:sz w:val="22"/>
          <w:szCs w:val="22"/>
        </w:rPr>
        <w:t>Don’t hesitate to contact the Murray Arts Team</w:t>
      </w:r>
      <w:r w:rsidR="00160FDF">
        <w:rPr>
          <w:sz w:val="22"/>
          <w:szCs w:val="22"/>
        </w:rPr>
        <w:t xml:space="preserve">, as we can help brainstorm out who </w:t>
      </w:r>
      <w:r w:rsidR="004E37C8">
        <w:rPr>
          <w:sz w:val="22"/>
          <w:szCs w:val="22"/>
        </w:rPr>
        <w:t xml:space="preserve">could be the best Administrator or </w:t>
      </w:r>
      <w:proofErr w:type="spellStart"/>
      <w:r w:rsidR="00880DA5">
        <w:rPr>
          <w:sz w:val="22"/>
          <w:szCs w:val="22"/>
        </w:rPr>
        <w:t>Auspicing</w:t>
      </w:r>
      <w:proofErr w:type="spellEnd"/>
      <w:r w:rsidR="004E37C8">
        <w:rPr>
          <w:sz w:val="22"/>
          <w:szCs w:val="22"/>
        </w:rPr>
        <w:t xml:space="preserve"> Body for your proj</w:t>
      </w:r>
      <w:r w:rsidR="00624ED0">
        <w:rPr>
          <w:sz w:val="22"/>
          <w:szCs w:val="22"/>
        </w:rPr>
        <w:t xml:space="preserve">ect and it is worth noting that </w:t>
      </w:r>
      <w:r w:rsidR="008E7025">
        <w:rPr>
          <w:sz w:val="22"/>
          <w:szCs w:val="22"/>
        </w:rPr>
        <w:t xml:space="preserve">majority of Administrators or </w:t>
      </w:r>
      <w:proofErr w:type="spellStart"/>
      <w:r w:rsidR="008E7025">
        <w:rPr>
          <w:sz w:val="22"/>
          <w:szCs w:val="22"/>
        </w:rPr>
        <w:t>Auspicing</w:t>
      </w:r>
      <w:proofErr w:type="spellEnd"/>
      <w:r w:rsidR="008E7025">
        <w:rPr>
          <w:sz w:val="22"/>
          <w:szCs w:val="22"/>
        </w:rPr>
        <w:t xml:space="preserve"> </w:t>
      </w:r>
      <w:r w:rsidR="00880DA5">
        <w:rPr>
          <w:sz w:val="22"/>
          <w:szCs w:val="22"/>
        </w:rPr>
        <w:t>Bodies</w:t>
      </w:r>
      <w:r w:rsidR="008E7025">
        <w:rPr>
          <w:sz w:val="22"/>
          <w:szCs w:val="22"/>
        </w:rPr>
        <w:t xml:space="preserve"> will charge a fee for this service, </w:t>
      </w:r>
      <w:r w:rsidR="008E7025">
        <w:rPr>
          <w:sz w:val="22"/>
          <w:szCs w:val="22"/>
        </w:rPr>
        <w:lastRenderedPageBreak/>
        <w:t>generally between 5</w:t>
      </w:r>
      <w:r w:rsidR="00590924">
        <w:rPr>
          <w:sz w:val="22"/>
          <w:szCs w:val="22"/>
        </w:rPr>
        <w:t xml:space="preserve">-10% of the total grant money and this will need to be factored into your budget. Note: Murray Arts is an </w:t>
      </w:r>
      <w:proofErr w:type="spellStart"/>
      <w:r w:rsidR="00590924">
        <w:rPr>
          <w:sz w:val="22"/>
          <w:szCs w:val="22"/>
        </w:rPr>
        <w:t>Auspicing</w:t>
      </w:r>
      <w:proofErr w:type="spellEnd"/>
      <w:r w:rsidR="00590924">
        <w:rPr>
          <w:sz w:val="22"/>
          <w:szCs w:val="22"/>
        </w:rPr>
        <w:t xml:space="preserve"> Body and can Auspice CASP applications. </w:t>
      </w:r>
    </w:p>
    <w:p w14:paraId="1C5E78C8" w14:textId="1DB1492E" w:rsidR="00F93FFD" w:rsidRDefault="00F93FFD" w:rsidP="00F93F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D43EF8A" w14:textId="77777777" w:rsidR="00B37EBA" w:rsidRDefault="00B37EBA" w:rsidP="00F93FFD">
      <w:pPr>
        <w:pStyle w:val="Default"/>
        <w:rPr>
          <w:sz w:val="22"/>
          <w:szCs w:val="22"/>
        </w:rPr>
      </w:pPr>
    </w:p>
    <w:p w14:paraId="1864DF92" w14:textId="499AC0A7" w:rsidR="00876B47" w:rsidRDefault="00876B47" w:rsidP="00F93F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Applications</w:t>
      </w:r>
    </w:p>
    <w:p w14:paraId="5F750324" w14:textId="77777777" w:rsidR="00876B47" w:rsidRDefault="00876B47" w:rsidP="00F93FFD">
      <w:pPr>
        <w:pStyle w:val="Default"/>
        <w:rPr>
          <w:sz w:val="22"/>
          <w:szCs w:val="22"/>
        </w:rPr>
      </w:pPr>
    </w:p>
    <w:p w14:paraId="587FE57B" w14:textId="3A918E42" w:rsidR="006F0821" w:rsidRDefault="006F0821" w:rsidP="00F93F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="00243FBA">
        <w:rPr>
          <w:sz w:val="22"/>
          <w:szCs w:val="22"/>
        </w:rPr>
        <w:t>lease follow the below steps:</w:t>
      </w:r>
    </w:p>
    <w:p w14:paraId="34AA00F9" w14:textId="5DDD4447" w:rsidR="00243FBA" w:rsidRDefault="00243FBA" w:rsidP="00243FBA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Download the </w:t>
      </w:r>
      <w:r w:rsidR="00FC56D7">
        <w:rPr>
          <w:sz w:val="22"/>
          <w:szCs w:val="22"/>
        </w:rPr>
        <w:t>application word doc and excel spreadsheet budget template</w:t>
      </w:r>
      <w:r w:rsidR="000E5A89">
        <w:rPr>
          <w:sz w:val="22"/>
          <w:szCs w:val="22"/>
        </w:rPr>
        <w:t xml:space="preserve"> </w:t>
      </w:r>
      <w:hyperlink r:id="rId8" w:history="1">
        <w:r w:rsidR="0015632F" w:rsidRPr="0015632F">
          <w:rPr>
            <w:rStyle w:val="Hyperlink"/>
            <w:sz w:val="22"/>
            <w:szCs w:val="22"/>
          </w:rPr>
          <w:t>here</w:t>
        </w:r>
      </w:hyperlink>
      <w:r w:rsidR="00186AC5">
        <w:rPr>
          <w:sz w:val="22"/>
          <w:szCs w:val="22"/>
        </w:rPr>
        <w:t>.</w:t>
      </w:r>
      <w:r w:rsidR="000E5A89">
        <w:rPr>
          <w:sz w:val="22"/>
          <w:szCs w:val="22"/>
        </w:rPr>
        <w:t xml:space="preserve"> </w:t>
      </w:r>
    </w:p>
    <w:p w14:paraId="4B8A9A0F" w14:textId="3D076443" w:rsidR="00FC56D7" w:rsidRDefault="00FC56D7" w:rsidP="00243FBA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Complete all relevant fields in the application word doc and excel spreadsheet budget template.</w:t>
      </w:r>
    </w:p>
    <w:p w14:paraId="6141E422" w14:textId="617D994F" w:rsidR="00FC56D7" w:rsidRDefault="00FC56D7" w:rsidP="00243FBA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Email the completed application word doc, e</w:t>
      </w:r>
      <w:r w:rsidR="00716CF1">
        <w:rPr>
          <w:sz w:val="22"/>
          <w:szCs w:val="22"/>
        </w:rPr>
        <w:t xml:space="preserve">xcel spreadsheet budget template, and any other relevant supporting material to Julien Bonnel prior to the application closing </w:t>
      </w:r>
      <w:r w:rsidR="00A833C3">
        <w:rPr>
          <w:sz w:val="22"/>
          <w:szCs w:val="22"/>
        </w:rPr>
        <w:t>time and date.</w:t>
      </w:r>
    </w:p>
    <w:p w14:paraId="0CB12F71" w14:textId="77777777" w:rsidR="00A833C3" w:rsidRDefault="00A833C3" w:rsidP="00A833C3">
      <w:pPr>
        <w:pStyle w:val="Default"/>
        <w:rPr>
          <w:sz w:val="22"/>
          <w:szCs w:val="22"/>
        </w:rPr>
      </w:pPr>
    </w:p>
    <w:p w14:paraId="34543B9C" w14:textId="0F71F332" w:rsidR="00A833C3" w:rsidRPr="00876B47" w:rsidRDefault="00E97632" w:rsidP="00A833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*** </w:t>
      </w:r>
      <w:r w:rsidR="00A833C3">
        <w:rPr>
          <w:sz w:val="22"/>
          <w:szCs w:val="22"/>
        </w:rPr>
        <w:t xml:space="preserve">If you have any issues filling in the application word doc or the excel </w:t>
      </w:r>
      <w:r>
        <w:rPr>
          <w:sz w:val="22"/>
          <w:szCs w:val="22"/>
        </w:rPr>
        <w:t>spreadsheet budget template, please contact Julien Bonnel.</w:t>
      </w:r>
    </w:p>
    <w:p w14:paraId="355E9B2C" w14:textId="77777777" w:rsidR="00B37EBA" w:rsidRDefault="00B37EBA" w:rsidP="00F93FFD">
      <w:pPr>
        <w:pStyle w:val="Default"/>
        <w:rPr>
          <w:sz w:val="22"/>
          <w:szCs w:val="22"/>
        </w:rPr>
      </w:pPr>
    </w:p>
    <w:p w14:paraId="34720199" w14:textId="77777777" w:rsidR="00B37EBA" w:rsidRDefault="00B37EBA" w:rsidP="00F93FFD">
      <w:pPr>
        <w:pStyle w:val="Default"/>
        <w:rPr>
          <w:sz w:val="22"/>
          <w:szCs w:val="22"/>
        </w:rPr>
      </w:pPr>
    </w:p>
    <w:p w14:paraId="5AD1E37D" w14:textId="291865A6" w:rsidR="00B37EBA" w:rsidRPr="00B37EBA" w:rsidRDefault="00B37EBA" w:rsidP="00F93FFD">
      <w:pPr>
        <w:pStyle w:val="Default"/>
        <w:rPr>
          <w:b/>
          <w:bCs/>
        </w:rPr>
      </w:pPr>
      <w:r w:rsidRPr="00B37EBA">
        <w:rPr>
          <w:b/>
          <w:bCs/>
        </w:rPr>
        <w:t xml:space="preserve">Contact Details </w:t>
      </w:r>
    </w:p>
    <w:p w14:paraId="48152DA5" w14:textId="77777777" w:rsidR="00B37EBA" w:rsidRDefault="00B37EBA" w:rsidP="00F93FFD">
      <w:pPr>
        <w:pStyle w:val="Default"/>
      </w:pPr>
    </w:p>
    <w:p w14:paraId="21B3F703" w14:textId="19667CC1" w:rsidR="00B37EBA" w:rsidRDefault="00B37EBA" w:rsidP="00F93FFD">
      <w:pPr>
        <w:pStyle w:val="Default"/>
      </w:pPr>
      <w:r w:rsidRPr="003E371C">
        <w:t>To discuss you application idea/s</w:t>
      </w:r>
      <w:r w:rsidR="0003103B">
        <w:t xml:space="preserve"> please contact Murray Arts Executive Support &amp; Grants Officer Julien Bonnel</w:t>
      </w:r>
      <w:r w:rsidR="00B15B5C">
        <w:t>.</w:t>
      </w:r>
    </w:p>
    <w:p w14:paraId="5B0B9878" w14:textId="22398BB1" w:rsidR="00B37EBA" w:rsidRDefault="00B37EBA" w:rsidP="00F93FFD">
      <w:pPr>
        <w:pStyle w:val="Default"/>
      </w:pPr>
      <w:r w:rsidRPr="00FD648A">
        <w:rPr>
          <w:b/>
          <w:bCs/>
        </w:rPr>
        <w:t>Email:</w:t>
      </w:r>
      <w:r>
        <w:t xml:space="preserve"> </w:t>
      </w:r>
      <w:hyperlink r:id="rId9" w:history="1">
        <w:r w:rsidR="000164BF" w:rsidRPr="00592B5A">
          <w:rPr>
            <w:rStyle w:val="Hyperlink"/>
          </w:rPr>
          <w:t>jbonnel@murrayarts.org.au</w:t>
        </w:r>
      </w:hyperlink>
      <w:r>
        <w:t xml:space="preserve"> </w:t>
      </w:r>
    </w:p>
    <w:p w14:paraId="0158D8FF" w14:textId="0F83A8B4" w:rsidR="00B37EBA" w:rsidRPr="000164BF" w:rsidRDefault="00FD648A" w:rsidP="00F93FFD">
      <w:pPr>
        <w:pStyle w:val="Default"/>
        <w:rPr>
          <w:b/>
          <w:bCs/>
        </w:rPr>
      </w:pPr>
      <w:r w:rsidRPr="00FD648A">
        <w:rPr>
          <w:b/>
          <w:bCs/>
        </w:rPr>
        <w:t>Phone:</w:t>
      </w:r>
      <w:r w:rsidR="00B37EBA" w:rsidRPr="00FD648A">
        <w:rPr>
          <w:b/>
          <w:bCs/>
        </w:rPr>
        <w:t xml:space="preserve"> </w:t>
      </w:r>
      <w:r w:rsidR="00B15B5C" w:rsidRPr="00D50923">
        <w:t xml:space="preserve">0455 </w:t>
      </w:r>
      <w:r w:rsidR="00D50923" w:rsidRPr="00D50923">
        <w:t>466 903</w:t>
      </w:r>
    </w:p>
    <w:sectPr w:rsidR="00B37EBA" w:rsidRPr="000164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349A3" w14:textId="77777777" w:rsidR="000A11A3" w:rsidRDefault="000A11A3" w:rsidP="00477B60">
      <w:pPr>
        <w:spacing w:after="0" w:line="240" w:lineRule="auto"/>
      </w:pPr>
      <w:r>
        <w:separator/>
      </w:r>
    </w:p>
  </w:endnote>
  <w:endnote w:type="continuationSeparator" w:id="0">
    <w:p w14:paraId="5EA00195" w14:textId="77777777" w:rsidR="000A11A3" w:rsidRDefault="000A11A3" w:rsidP="0047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57EAF" w14:textId="77777777" w:rsidR="008F02D6" w:rsidRDefault="008F02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9855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A642C" w14:textId="77777777" w:rsidR="00477B60" w:rsidRDefault="00477B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659637" w14:textId="3CB2ED7B" w:rsidR="00CF48E1" w:rsidRDefault="00CF48E1" w:rsidP="00CF48E1">
    <w:pPr>
      <w:pStyle w:val="Header"/>
    </w:pPr>
    <w:r>
      <w:t>Murray Arts – 20</w:t>
    </w:r>
    <w:r w:rsidR="008F02D6">
      <w:t>25</w:t>
    </w:r>
    <w:r>
      <w:t xml:space="preserve"> CASP Guidelines </w:t>
    </w:r>
  </w:p>
  <w:p w14:paraId="4ADB5DB9" w14:textId="77777777" w:rsidR="00477B60" w:rsidRDefault="00477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DD11" w14:textId="77777777" w:rsidR="008F02D6" w:rsidRDefault="008F0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5ED1E" w14:textId="77777777" w:rsidR="000A11A3" w:rsidRDefault="000A11A3" w:rsidP="00477B60">
      <w:pPr>
        <w:spacing w:after="0" w:line="240" w:lineRule="auto"/>
      </w:pPr>
      <w:r>
        <w:separator/>
      </w:r>
    </w:p>
  </w:footnote>
  <w:footnote w:type="continuationSeparator" w:id="0">
    <w:p w14:paraId="4D4DBD3B" w14:textId="77777777" w:rsidR="000A11A3" w:rsidRDefault="000A11A3" w:rsidP="0047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36A9" w14:textId="77777777" w:rsidR="008F02D6" w:rsidRDefault="008F02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9BEB" w14:textId="77777777" w:rsidR="008F02D6" w:rsidRDefault="008F02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FD49" w14:textId="77777777" w:rsidR="008F02D6" w:rsidRDefault="008F0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3643"/>
    <w:multiLevelType w:val="hybridMultilevel"/>
    <w:tmpl w:val="F064C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62005"/>
    <w:multiLevelType w:val="hybridMultilevel"/>
    <w:tmpl w:val="099C0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7C10"/>
    <w:multiLevelType w:val="hybridMultilevel"/>
    <w:tmpl w:val="702A7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33CE4"/>
    <w:multiLevelType w:val="hybridMultilevel"/>
    <w:tmpl w:val="5194F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A28F1"/>
    <w:multiLevelType w:val="hybridMultilevel"/>
    <w:tmpl w:val="DFE6F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E174C"/>
    <w:multiLevelType w:val="hybridMultilevel"/>
    <w:tmpl w:val="DF5A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51009"/>
    <w:multiLevelType w:val="hybridMultilevel"/>
    <w:tmpl w:val="B7E67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481304">
    <w:abstractNumId w:val="2"/>
  </w:num>
  <w:num w:numId="2" w16cid:durableId="1147892119">
    <w:abstractNumId w:val="6"/>
  </w:num>
  <w:num w:numId="3" w16cid:durableId="1643004629">
    <w:abstractNumId w:val="3"/>
  </w:num>
  <w:num w:numId="4" w16cid:durableId="1112631149">
    <w:abstractNumId w:val="1"/>
  </w:num>
  <w:num w:numId="5" w16cid:durableId="878855290">
    <w:abstractNumId w:val="0"/>
  </w:num>
  <w:num w:numId="6" w16cid:durableId="524290013">
    <w:abstractNumId w:val="4"/>
  </w:num>
  <w:num w:numId="7" w16cid:durableId="118766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CE"/>
    <w:rsid w:val="000156F8"/>
    <w:rsid w:val="000164BF"/>
    <w:rsid w:val="00016550"/>
    <w:rsid w:val="0003103B"/>
    <w:rsid w:val="000A11A3"/>
    <w:rsid w:val="000B1B43"/>
    <w:rsid w:val="000B7780"/>
    <w:rsid w:val="000B7AB1"/>
    <w:rsid w:val="000E5A89"/>
    <w:rsid w:val="001151B9"/>
    <w:rsid w:val="00140328"/>
    <w:rsid w:val="001417C4"/>
    <w:rsid w:val="0015271E"/>
    <w:rsid w:val="0015632F"/>
    <w:rsid w:val="00160FDF"/>
    <w:rsid w:val="00174407"/>
    <w:rsid w:val="001765F9"/>
    <w:rsid w:val="0018598A"/>
    <w:rsid w:val="00186AC5"/>
    <w:rsid w:val="001949A8"/>
    <w:rsid w:val="001A571E"/>
    <w:rsid w:val="001C6CD7"/>
    <w:rsid w:val="001F0995"/>
    <w:rsid w:val="001F241E"/>
    <w:rsid w:val="0022449B"/>
    <w:rsid w:val="00243FBA"/>
    <w:rsid w:val="00284692"/>
    <w:rsid w:val="002A3F54"/>
    <w:rsid w:val="002A7D97"/>
    <w:rsid w:val="002B3D87"/>
    <w:rsid w:val="002B7C00"/>
    <w:rsid w:val="002C5A1D"/>
    <w:rsid w:val="002F7F37"/>
    <w:rsid w:val="00303A8C"/>
    <w:rsid w:val="00305C36"/>
    <w:rsid w:val="003064AB"/>
    <w:rsid w:val="00317993"/>
    <w:rsid w:val="00323674"/>
    <w:rsid w:val="003529C1"/>
    <w:rsid w:val="0035798C"/>
    <w:rsid w:val="00372C68"/>
    <w:rsid w:val="00372CED"/>
    <w:rsid w:val="003753CE"/>
    <w:rsid w:val="00385514"/>
    <w:rsid w:val="003A1D80"/>
    <w:rsid w:val="003A3B42"/>
    <w:rsid w:val="003F1208"/>
    <w:rsid w:val="003F1417"/>
    <w:rsid w:val="003F2EC4"/>
    <w:rsid w:val="004049DA"/>
    <w:rsid w:val="004139A8"/>
    <w:rsid w:val="00432F32"/>
    <w:rsid w:val="0044212A"/>
    <w:rsid w:val="00451C0E"/>
    <w:rsid w:val="00452C30"/>
    <w:rsid w:val="00477B60"/>
    <w:rsid w:val="004B78FE"/>
    <w:rsid w:val="004E37C8"/>
    <w:rsid w:val="004F150D"/>
    <w:rsid w:val="004F2968"/>
    <w:rsid w:val="0055767E"/>
    <w:rsid w:val="0056282D"/>
    <w:rsid w:val="0056604A"/>
    <w:rsid w:val="00590924"/>
    <w:rsid w:val="00594131"/>
    <w:rsid w:val="005B07CB"/>
    <w:rsid w:val="005B2013"/>
    <w:rsid w:val="005B293F"/>
    <w:rsid w:val="005C0086"/>
    <w:rsid w:val="005F58C8"/>
    <w:rsid w:val="006010DA"/>
    <w:rsid w:val="00615202"/>
    <w:rsid w:val="00617942"/>
    <w:rsid w:val="00624ED0"/>
    <w:rsid w:val="00635084"/>
    <w:rsid w:val="006358D4"/>
    <w:rsid w:val="0063773F"/>
    <w:rsid w:val="0066266A"/>
    <w:rsid w:val="006716A3"/>
    <w:rsid w:val="006721EC"/>
    <w:rsid w:val="006D50A0"/>
    <w:rsid w:val="006E07C6"/>
    <w:rsid w:val="006F0821"/>
    <w:rsid w:val="006F4284"/>
    <w:rsid w:val="006F6C11"/>
    <w:rsid w:val="00716CF1"/>
    <w:rsid w:val="00723BB2"/>
    <w:rsid w:val="00724BA4"/>
    <w:rsid w:val="00726700"/>
    <w:rsid w:val="00736123"/>
    <w:rsid w:val="00787F83"/>
    <w:rsid w:val="00791C06"/>
    <w:rsid w:val="007A44AD"/>
    <w:rsid w:val="007B0226"/>
    <w:rsid w:val="007C3CBC"/>
    <w:rsid w:val="007C5CCE"/>
    <w:rsid w:val="007D5504"/>
    <w:rsid w:val="00801875"/>
    <w:rsid w:val="00805B7A"/>
    <w:rsid w:val="0080733F"/>
    <w:rsid w:val="0082090F"/>
    <w:rsid w:val="008553A3"/>
    <w:rsid w:val="00857628"/>
    <w:rsid w:val="00857B2C"/>
    <w:rsid w:val="00876B47"/>
    <w:rsid w:val="00880DA5"/>
    <w:rsid w:val="00885915"/>
    <w:rsid w:val="008A5FE5"/>
    <w:rsid w:val="008C5D91"/>
    <w:rsid w:val="008E7025"/>
    <w:rsid w:val="008F02D6"/>
    <w:rsid w:val="008F213B"/>
    <w:rsid w:val="00936578"/>
    <w:rsid w:val="00950956"/>
    <w:rsid w:val="00952078"/>
    <w:rsid w:val="00965031"/>
    <w:rsid w:val="00985BBE"/>
    <w:rsid w:val="009A0286"/>
    <w:rsid w:val="009C0BE0"/>
    <w:rsid w:val="009E7B74"/>
    <w:rsid w:val="00A130A3"/>
    <w:rsid w:val="00A136A2"/>
    <w:rsid w:val="00A17659"/>
    <w:rsid w:val="00A22973"/>
    <w:rsid w:val="00A71808"/>
    <w:rsid w:val="00A744B5"/>
    <w:rsid w:val="00A833C3"/>
    <w:rsid w:val="00A911BB"/>
    <w:rsid w:val="00AB18DB"/>
    <w:rsid w:val="00AB6191"/>
    <w:rsid w:val="00AB7682"/>
    <w:rsid w:val="00AF1664"/>
    <w:rsid w:val="00B036F6"/>
    <w:rsid w:val="00B122D3"/>
    <w:rsid w:val="00B15B5C"/>
    <w:rsid w:val="00B16623"/>
    <w:rsid w:val="00B173C2"/>
    <w:rsid w:val="00B21E05"/>
    <w:rsid w:val="00B35373"/>
    <w:rsid w:val="00B37EBA"/>
    <w:rsid w:val="00B40461"/>
    <w:rsid w:val="00B663A6"/>
    <w:rsid w:val="00BC2051"/>
    <w:rsid w:val="00C01072"/>
    <w:rsid w:val="00C10057"/>
    <w:rsid w:val="00C42812"/>
    <w:rsid w:val="00C94F07"/>
    <w:rsid w:val="00CD73B4"/>
    <w:rsid w:val="00CF48E1"/>
    <w:rsid w:val="00CF74E8"/>
    <w:rsid w:val="00D3104B"/>
    <w:rsid w:val="00D50923"/>
    <w:rsid w:val="00D61DAE"/>
    <w:rsid w:val="00D93D55"/>
    <w:rsid w:val="00D94CFF"/>
    <w:rsid w:val="00DA197F"/>
    <w:rsid w:val="00DB2A29"/>
    <w:rsid w:val="00DB3CDC"/>
    <w:rsid w:val="00DC3C41"/>
    <w:rsid w:val="00DC4579"/>
    <w:rsid w:val="00DD1DCF"/>
    <w:rsid w:val="00DF0F8C"/>
    <w:rsid w:val="00E330EA"/>
    <w:rsid w:val="00E43CCE"/>
    <w:rsid w:val="00E442E2"/>
    <w:rsid w:val="00E47AE2"/>
    <w:rsid w:val="00E53991"/>
    <w:rsid w:val="00E75CF4"/>
    <w:rsid w:val="00E803AB"/>
    <w:rsid w:val="00E97632"/>
    <w:rsid w:val="00EA4955"/>
    <w:rsid w:val="00EB09E1"/>
    <w:rsid w:val="00ED149C"/>
    <w:rsid w:val="00F04473"/>
    <w:rsid w:val="00F04F9A"/>
    <w:rsid w:val="00F135D8"/>
    <w:rsid w:val="00F1407E"/>
    <w:rsid w:val="00F2539D"/>
    <w:rsid w:val="00F27731"/>
    <w:rsid w:val="00F414C1"/>
    <w:rsid w:val="00F46A7F"/>
    <w:rsid w:val="00F6081D"/>
    <w:rsid w:val="00F84343"/>
    <w:rsid w:val="00F93FFD"/>
    <w:rsid w:val="00FC56D7"/>
    <w:rsid w:val="00FD648A"/>
    <w:rsid w:val="00FF0E06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49B32"/>
  <w15:chartTrackingRefBased/>
  <w15:docId w15:val="{4CF8E074-C52E-48B3-9D77-F2E26A0E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60"/>
  </w:style>
  <w:style w:type="paragraph" w:styleId="Footer">
    <w:name w:val="footer"/>
    <w:basedOn w:val="Normal"/>
    <w:link w:val="FooterChar"/>
    <w:uiPriority w:val="99"/>
    <w:unhideWhenUsed/>
    <w:rsid w:val="0047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60"/>
  </w:style>
  <w:style w:type="paragraph" w:styleId="ListParagraph">
    <w:name w:val="List Paragraph"/>
    <w:basedOn w:val="Normal"/>
    <w:uiPriority w:val="34"/>
    <w:qFormat/>
    <w:rsid w:val="00451C0E"/>
    <w:pPr>
      <w:ind w:left="720"/>
      <w:contextualSpacing/>
    </w:pPr>
  </w:style>
  <w:style w:type="paragraph" w:customStyle="1" w:styleId="Default">
    <w:name w:val="Default"/>
    <w:rsid w:val="00F93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7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4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.gy/4839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bonnel@murrayarts.org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Alyce Fisher</dc:creator>
  <cp:keywords/>
  <dc:description/>
  <cp:lastModifiedBy>Ian Han</cp:lastModifiedBy>
  <cp:revision>2</cp:revision>
  <cp:lastPrinted>2024-08-22T05:03:00Z</cp:lastPrinted>
  <dcterms:created xsi:type="dcterms:W3CDTF">2025-09-05T05:01:00Z</dcterms:created>
  <dcterms:modified xsi:type="dcterms:W3CDTF">2025-09-05T05:01:00Z</dcterms:modified>
</cp:coreProperties>
</file>